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75" w:rsidRDefault="008679EC" w:rsidP="002E2F75">
      <w:pPr>
        <w:autoSpaceDE w:val="0"/>
        <w:autoSpaceDN w:val="0"/>
        <w:adjustRightInd w:val="0"/>
        <w:spacing w:line="240" w:lineRule="auto"/>
        <w:rPr>
          <w:rFonts w:eastAsia="SimSun" w:cs="Arial"/>
          <w:sz w:val="22"/>
          <w:szCs w:val="22"/>
          <w:lang w:eastAsia="zh-CN"/>
        </w:rPr>
      </w:pPr>
      <w:bookmarkStart w:id="0" w:name="bkmConcerning"/>
      <w:r>
        <w:rPr>
          <w:rFonts w:eastAsia="SimSun" w:cs="Arial"/>
          <w:sz w:val="22"/>
          <w:szCs w:val="22"/>
          <w:lang w:eastAsia="zh-CN"/>
        </w:rPr>
        <w:t>May 17</w:t>
      </w:r>
      <w:r w:rsidRPr="008679EC">
        <w:rPr>
          <w:rFonts w:eastAsia="SimSun" w:cs="Arial"/>
          <w:sz w:val="22"/>
          <w:szCs w:val="22"/>
          <w:vertAlign w:val="superscript"/>
          <w:lang w:eastAsia="zh-CN"/>
        </w:rPr>
        <w:t>th</w:t>
      </w:r>
      <w:r>
        <w:rPr>
          <w:rFonts w:eastAsia="SimSun" w:cs="Arial"/>
          <w:sz w:val="22"/>
          <w:szCs w:val="22"/>
          <w:lang w:eastAsia="zh-CN"/>
        </w:rPr>
        <w:t>, 2014</w:t>
      </w:r>
    </w:p>
    <w:p w:rsidR="00C75988" w:rsidRDefault="00C75988" w:rsidP="002E2F75">
      <w:pPr>
        <w:autoSpaceDE w:val="0"/>
        <w:autoSpaceDN w:val="0"/>
        <w:adjustRightInd w:val="0"/>
        <w:spacing w:line="240" w:lineRule="auto"/>
        <w:rPr>
          <w:rFonts w:eastAsia="SimSun" w:cs="Arial"/>
          <w:sz w:val="22"/>
          <w:szCs w:val="22"/>
          <w:lang w:eastAsia="zh-CN"/>
        </w:rPr>
      </w:pPr>
    </w:p>
    <w:p w:rsidR="008679EC" w:rsidRPr="00BF4085" w:rsidRDefault="008679EC" w:rsidP="002E2F75">
      <w:pPr>
        <w:autoSpaceDE w:val="0"/>
        <w:autoSpaceDN w:val="0"/>
        <w:adjustRightInd w:val="0"/>
        <w:spacing w:line="240" w:lineRule="auto"/>
        <w:rPr>
          <w:rFonts w:eastAsia="SimSun" w:cs="Arial"/>
          <w:sz w:val="22"/>
          <w:szCs w:val="22"/>
          <w:lang w:eastAsia="zh-CN"/>
        </w:rPr>
      </w:pPr>
    </w:p>
    <w:p w:rsidR="00C0371A" w:rsidRPr="008679EC" w:rsidRDefault="008679EC" w:rsidP="002E2F75">
      <w:pPr>
        <w:autoSpaceDE w:val="0"/>
        <w:autoSpaceDN w:val="0"/>
        <w:adjustRightInd w:val="0"/>
        <w:spacing w:line="240" w:lineRule="auto"/>
        <w:rPr>
          <w:rFonts w:eastAsia="SimSun" w:cs="Arial"/>
          <w:b/>
          <w:sz w:val="28"/>
          <w:szCs w:val="28"/>
          <w:u w:val="single"/>
          <w:lang w:eastAsia="zh-CN"/>
        </w:rPr>
      </w:pPr>
      <w:r w:rsidRPr="008679EC">
        <w:rPr>
          <w:rFonts w:eastAsia="SimSun" w:cs="Arial"/>
          <w:b/>
          <w:sz w:val="28"/>
          <w:szCs w:val="28"/>
          <w:u w:val="single"/>
          <w:lang w:eastAsia="zh-CN"/>
        </w:rPr>
        <w:t>Rationale and Explanations for the Proposed Cha</w:t>
      </w:r>
      <w:r w:rsidR="0016257C">
        <w:rPr>
          <w:rFonts w:eastAsia="SimSun" w:cs="Arial"/>
          <w:b/>
          <w:sz w:val="28"/>
          <w:szCs w:val="28"/>
          <w:u w:val="single"/>
          <w:lang w:eastAsia="zh-CN"/>
        </w:rPr>
        <w:t xml:space="preserve">nges to the CIPAC Method MT 190.2 (Determination of Release Properties of </w:t>
      </w:r>
      <w:proofErr w:type="spellStart"/>
      <w:r w:rsidR="0016257C">
        <w:rPr>
          <w:rFonts w:eastAsia="SimSun" w:cs="Arial"/>
          <w:b/>
          <w:sz w:val="28"/>
          <w:szCs w:val="28"/>
          <w:u w:val="single"/>
          <w:lang w:eastAsia="zh-CN"/>
        </w:rPr>
        <w:t>Pirimiphos</w:t>
      </w:r>
      <w:proofErr w:type="spellEnd"/>
      <w:r w:rsidR="0016257C">
        <w:rPr>
          <w:rFonts w:eastAsia="SimSun" w:cs="Arial"/>
          <w:b/>
          <w:sz w:val="28"/>
          <w:szCs w:val="28"/>
          <w:u w:val="single"/>
          <w:lang w:eastAsia="zh-CN"/>
        </w:rPr>
        <w:t>-Methyl CS Formulations)</w:t>
      </w:r>
    </w:p>
    <w:p w:rsidR="000129F4" w:rsidRDefault="000129F4">
      <w:pPr>
        <w:spacing w:line="240" w:lineRule="auto"/>
        <w:rPr>
          <w:rFonts w:cs="Arial"/>
          <w:sz w:val="22"/>
          <w:szCs w:val="22"/>
        </w:rPr>
      </w:pPr>
    </w:p>
    <w:p w:rsidR="00121C17" w:rsidRDefault="00121C17" w:rsidP="008679EC">
      <w:pPr>
        <w:pStyle w:val="SGAText"/>
        <w:jc w:val="both"/>
        <w:rPr>
          <w:rFonts w:cs="Arial"/>
          <w:sz w:val="22"/>
          <w:szCs w:val="22"/>
        </w:rPr>
      </w:pPr>
    </w:p>
    <w:p w:rsidR="008679EC" w:rsidRDefault="0016257C" w:rsidP="008679EC">
      <w:pPr>
        <w:jc w:val="both"/>
      </w:pPr>
      <w:r>
        <w:t>During the scale-up of the production</w:t>
      </w:r>
      <w:r w:rsidR="008679EC">
        <w:t xml:space="preserve"> </w:t>
      </w:r>
      <w:r>
        <w:t xml:space="preserve">of the CS formulation </w:t>
      </w:r>
      <w:r w:rsidR="008679EC">
        <w:t xml:space="preserve">Syngenta got aware of some </w:t>
      </w:r>
      <w:r>
        <w:t>issues related to the use of this</w:t>
      </w:r>
      <w:r w:rsidR="008679EC">
        <w:t xml:space="preserve"> CIPAC method</w:t>
      </w:r>
      <w:r>
        <w:t xml:space="preserve">. </w:t>
      </w:r>
      <w:r w:rsidR="008679EC">
        <w:t>Extended investigations and round robin studies have been performed to better understand the issue</w:t>
      </w:r>
      <w:r>
        <w:t>s</w:t>
      </w:r>
      <w:r w:rsidR="008679EC">
        <w:t xml:space="preserve"> and to be able to propose changes to the current method that improve clarity and </w:t>
      </w:r>
      <w:r w:rsidR="00EA1C21">
        <w:t>to improve</w:t>
      </w:r>
      <w:r w:rsidR="008679EC">
        <w:t xml:space="preserve"> </w:t>
      </w:r>
      <w:r>
        <w:t>reproducibility</w:t>
      </w:r>
      <w:r w:rsidR="008679EC">
        <w:t xml:space="preserve">. </w:t>
      </w:r>
    </w:p>
    <w:p w:rsidR="008679EC" w:rsidRDefault="008679EC" w:rsidP="008679EC">
      <w:pPr>
        <w:jc w:val="both"/>
      </w:pPr>
    </w:p>
    <w:p w:rsidR="008679EC" w:rsidRDefault="008679EC" w:rsidP="008679EC">
      <w:pPr>
        <w:jc w:val="both"/>
      </w:pPr>
      <w:r>
        <w:t>The following issues have been observed:</w:t>
      </w:r>
    </w:p>
    <w:p w:rsidR="008679EC" w:rsidRDefault="008679EC" w:rsidP="008679EC">
      <w:pPr>
        <w:pStyle w:val="ListParagraph"/>
        <w:numPr>
          <w:ilvl w:val="0"/>
          <w:numId w:val="12"/>
        </w:numPr>
        <w:jc w:val="both"/>
      </w:pPr>
      <w:r>
        <w:t xml:space="preserve">When analyzing </w:t>
      </w:r>
      <w:r w:rsidR="00BF63F6">
        <w:t xml:space="preserve">samples of </w:t>
      </w:r>
      <w:r>
        <w:t xml:space="preserve">formulated products, the results obtained for the AI content were significantly higher than the nominal content. A root cause analysis showed that overdosing could be ruled out. The most like cause was that the purity of the reference substance used was significantly lower than the purity indicated on the label. Inappropriate shipping and handling of the material could cause degradation of the AI. This is a known phenomenon for organophosphates. </w:t>
      </w:r>
      <w:r w:rsidR="00BF63F6">
        <w:tab/>
      </w:r>
      <w:r w:rsidR="00BF63F6">
        <w:br/>
        <w:t>Thus, we have added a statement</w:t>
      </w:r>
      <w:r>
        <w:t xml:space="preserve"> </w:t>
      </w:r>
      <w:r w:rsidR="00BF63F6">
        <w:t>in the method (on page 2) that describes how the reference substance should be treated.</w:t>
      </w:r>
      <w:r w:rsidR="00C149F0">
        <w:t xml:space="preserve"> </w:t>
      </w:r>
      <w:r w:rsidR="00E24433">
        <w:t>The same change has been proposed to the CIPAC method 239/TC/M</w:t>
      </w:r>
      <w:r w:rsidR="008D08CF">
        <w:t>.</w:t>
      </w:r>
    </w:p>
    <w:p w:rsidR="00E24433" w:rsidRDefault="00BF63F6" w:rsidP="008679EC">
      <w:pPr>
        <w:pStyle w:val="ListParagraph"/>
        <w:numPr>
          <w:ilvl w:val="0"/>
          <w:numId w:val="12"/>
        </w:numPr>
        <w:jc w:val="both"/>
      </w:pPr>
      <w:r>
        <w:t>When analyzing samples of the CS formulations</w:t>
      </w:r>
      <w:r w:rsidR="00E24433">
        <w:t xml:space="preserve"> in several labs</w:t>
      </w:r>
      <w:r>
        <w:t>, the</w:t>
      </w:r>
      <w:r w:rsidR="00E24433">
        <w:t xml:space="preserve"> release rate </w:t>
      </w:r>
      <w:r w:rsidR="00BB0CF4">
        <w:t xml:space="preserve">of the same batch </w:t>
      </w:r>
      <w:r w:rsidR="00E24433">
        <w:t>showed fairly large variation</w:t>
      </w:r>
      <w:r w:rsidR="00BB0CF4">
        <w:t xml:space="preserve">. Closer investigation led to the assumption that the temperature during the rolling of the bottles may be a key </w:t>
      </w:r>
      <w:r w:rsidR="00C7210C">
        <w:t>contributing factor</w:t>
      </w:r>
      <w:r w:rsidR="00BB0CF4">
        <w:t xml:space="preserve">. To test this hypothesis, a preliminary test at different </w:t>
      </w:r>
      <w:r w:rsidR="008E68DE">
        <w:t>temperatures</w:t>
      </w:r>
      <w:r w:rsidR="00BB0CF4">
        <w:t xml:space="preserve"> was performed. The following results </w:t>
      </w:r>
      <w:r w:rsidR="008E68DE">
        <w:t>were generated:</w:t>
      </w:r>
      <w:r w:rsidR="00E24433">
        <w:t xml:space="preserve"> </w:t>
      </w:r>
    </w:p>
    <w:p w:rsidR="008E68DE" w:rsidRDefault="008E68DE" w:rsidP="008E68DE">
      <w:pPr>
        <w:pStyle w:val="ListParagraph"/>
        <w:jc w:val="both"/>
      </w:pPr>
      <w:r w:rsidRPr="00876992">
        <w:rPr>
          <w:noProof/>
          <w:u w:val="single"/>
        </w:rPr>
        <w:drawing>
          <wp:inline distT="0" distB="0" distL="0" distR="0" wp14:anchorId="03B34058" wp14:editId="0EB8101E">
            <wp:extent cx="5038725" cy="20859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68DE" w:rsidRDefault="00E24433" w:rsidP="00E24433">
      <w:pPr>
        <w:pStyle w:val="ListParagraph"/>
        <w:jc w:val="both"/>
      </w:pPr>
      <w:r>
        <w:br/>
      </w:r>
      <w:r w:rsidR="008E68DE">
        <w:t>As can be seen in this graph the release rate after 15 minutes is quite independent of the temperature, whereas the release rate after 180 minutes varied substantially. The value for the low temperature experiment was indeed below the specification limit. To provide further evidence of the importance of the temperature during rolling</w:t>
      </w:r>
      <w:r w:rsidR="00C7210C">
        <w:t>,</w:t>
      </w:r>
      <w:r w:rsidR="008E68DE">
        <w:t xml:space="preserve"> experiments were </w:t>
      </w:r>
      <w:r w:rsidR="008E68DE">
        <w:lastRenderedPageBreak/>
        <w:t>conducted with the same batch at different temperatures. The resulting data further support the hypothesis:</w:t>
      </w:r>
    </w:p>
    <w:p w:rsidR="00BF63F6" w:rsidRDefault="008E68DE" w:rsidP="00E24433">
      <w:pPr>
        <w:pStyle w:val="ListParagraph"/>
        <w:jc w:val="both"/>
      </w:pPr>
      <w:r w:rsidRPr="007808C5">
        <w:rPr>
          <w:noProof/>
          <w:u w:val="single"/>
        </w:rPr>
        <w:drawing>
          <wp:inline distT="0" distB="0" distL="0" distR="0" wp14:anchorId="0CF540B0" wp14:editId="37BF5703">
            <wp:extent cx="5067300" cy="21336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 </w:t>
      </w:r>
      <w:r w:rsidR="00E24433">
        <w:br/>
      </w:r>
      <w:r w:rsidR="00E24433">
        <w:br/>
      </w:r>
      <w:r>
        <w:t xml:space="preserve">Again, the lower the temperature the lower the release rate after 60 and 180 minutes whereas the value after 15 minutes stays quite constant. </w:t>
      </w:r>
      <w:r w:rsidR="006A665A">
        <w:tab/>
      </w:r>
      <w:r w:rsidR="006A665A">
        <w:br/>
      </w:r>
      <w:r>
        <w:t xml:space="preserve">This information was shared with Markus Mueller and Olivier Pigeon beginning of May. Based on this discussion we now propose to only determine the release rate after 15 minutes. </w:t>
      </w:r>
      <w:r w:rsidR="00D9715A">
        <w:t>This value gives</w:t>
      </w:r>
      <w:r>
        <w:t xml:space="preserve"> sufficient evidence that the AI is released slowly from the capsules. </w:t>
      </w:r>
      <w:r w:rsidR="00C7210C">
        <w:t>And from the analytical point of view there is no need to be able to control the temperature of the bottle on the roller. Some labs may have difficulties to control to keep such equipment between 20 and 25°C.</w:t>
      </w:r>
      <w:bookmarkStart w:id="1" w:name="_GoBack"/>
      <w:bookmarkEnd w:id="1"/>
      <w:r w:rsidR="00C7210C">
        <w:t xml:space="preserve"> </w:t>
      </w:r>
      <w:r w:rsidR="00C7210C">
        <w:tab/>
      </w:r>
      <w:r w:rsidR="00D9715A">
        <w:br/>
      </w:r>
      <w:r w:rsidR="006A665A">
        <w:t xml:space="preserve">Thus, we have </w:t>
      </w:r>
      <w:r w:rsidR="00D9715A">
        <w:t>modified the method to only refer to a rolling time of 15 minutes (on pages 1, 2 and 4)</w:t>
      </w:r>
      <w:r w:rsidR="006A665A">
        <w:t>.</w:t>
      </w:r>
    </w:p>
    <w:p w:rsidR="00607F80" w:rsidRDefault="00607F80" w:rsidP="00C75988">
      <w:pPr>
        <w:pStyle w:val="ListParagraph"/>
        <w:jc w:val="both"/>
      </w:pPr>
    </w:p>
    <w:p w:rsidR="00C75988" w:rsidRDefault="00C75988" w:rsidP="00C75988">
      <w:pPr>
        <w:pStyle w:val="ListParagraph"/>
        <w:jc w:val="both"/>
      </w:pPr>
    </w:p>
    <w:p w:rsidR="00C75988" w:rsidRDefault="00C75988" w:rsidP="00C75988">
      <w:pPr>
        <w:pStyle w:val="ListParagraph"/>
        <w:jc w:val="both"/>
      </w:pPr>
    </w:p>
    <w:p w:rsidR="00C75988" w:rsidRDefault="00C75988" w:rsidP="00C75988">
      <w:pPr>
        <w:pStyle w:val="ListParagraph"/>
        <w:ind w:left="360"/>
        <w:jc w:val="both"/>
      </w:pPr>
      <w:r>
        <w:t>M. Rodler</w:t>
      </w:r>
    </w:p>
    <w:p w:rsidR="008679EC" w:rsidRDefault="008679EC" w:rsidP="008679EC">
      <w:pPr>
        <w:jc w:val="both"/>
      </w:pPr>
    </w:p>
    <w:p w:rsidR="008679EC" w:rsidRPr="008679EC" w:rsidRDefault="008679EC">
      <w:pPr>
        <w:pStyle w:val="SGAText"/>
        <w:rPr>
          <w:rFonts w:cs="Arial"/>
          <w:sz w:val="24"/>
          <w:szCs w:val="24"/>
          <w:lang w:val="en-US"/>
        </w:rPr>
      </w:pPr>
    </w:p>
    <w:p w:rsidR="00156938" w:rsidRPr="00BF4085" w:rsidRDefault="00156938">
      <w:pPr>
        <w:pStyle w:val="SGAText"/>
        <w:rPr>
          <w:rFonts w:cs="Arial"/>
          <w:sz w:val="22"/>
          <w:szCs w:val="22"/>
        </w:rPr>
      </w:pPr>
    </w:p>
    <w:bookmarkEnd w:id="0"/>
    <w:p w:rsidR="00C963BA" w:rsidRPr="00BF4085" w:rsidRDefault="00C963BA">
      <w:pPr>
        <w:pStyle w:val="BodyText3"/>
        <w:spacing w:after="120"/>
        <w:rPr>
          <w:rFonts w:cs="Arial"/>
          <w:szCs w:val="22"/>
        </w:rPr>
      </w:pPr>
    </w:p>
    <w:sectPr w:rsidR="00C963BA" w:rsidRPr="00BF4085" w:rsidSect="00FE7446">
      <w:headerReference w:type="default" r:id="rId10"/>
      <w:footerReference w:type="even" r:id="rId11"/>
      <w:footerReference w:type="default" r:id="rId12"/>
      <w:headerReference w:type="first" r:id="rId13"/>
      <w:footerReference w:type="first" r:id="rId14"/>
      <w:pgSz w:w="11906" w:h="16838" w:code="9"/>
      <w:pgMar w:top="2097" w:right="1274" w:bottom="2269" w:left="1928" w:header="595" w:footer="1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5A" w:rsidRDefault="006A745A">
      <w:r>
        <w:separator/>
      </w:r>
    </w:p>
  </w:endnote>
  <w:endnote w:type="continuationSeparator" w:id="0">
    <w:p w:rsidR="006A745A" w:rsidRDefault="006A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5A" w:rsidRDefault="006A745A" w:rsidP="009B1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45A" w:rsidRDefault="006A745A" w:rsidP="007975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5A" w:rsidRDefault="006A745A" w:rsidP="009B1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10C">
      <w:rPr>
        <w:rStyle w:val="PageNumber"/>
        <w:noProof/>
      </w:rPr>
      <w:t>2</w:t>
    </w:r>
    <w:r>
      <w:rPr>
        <w:rStyle w:val="PageNumber"/>
      </w:rPr>
      <w:fldChar w:fldCharType="end"/>
    </w:r>
  </w:p>
  <w:p w:rsidR="006A745A" w:rsidRDefault="006A745A" w:rsidP="007975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19" w:type="dxa"/>
      <w:tblLayout w:type="fixed"/>
      <w:tblCellMar>
        <w:left w:w="0" w:type="dxa"/>
        <w:right w:w="0" w:type="dxa"/>
      </w:tblCellMar>
      <w:tblLook w:val="0000" w:firstRow="0" w:lastRow="0" w:firstColumn="0" w:lastColumn="0" w:noHBand="0" w:noVBand="0"/>
    </w:tblPr>
    <w:tblGrid>
      <w:gridCol w:w="7144"/>
    </w:tblGrid>
    <w:tr w:rsidR="006A745A">
      <w:trPr>
        <w:cantSplit/>
      </w:trPr>
      <w:tc>
        <w:tcPr>
          <w:tcW w:w="7144" w:type="dxa"/>
        </w:tcPr>
        <w:p w:rsidR="006A745A" w:rsidRDefault="006A745A">
          <w:pPr>
            <w:pStyle w:val="SGAFooter"/>
          </w:pPr>
        </w:p>
      </w:tc>
    </w:tr>
  </w:tbl>
  <w:p w:rsidR="006A745A" w:rsidRDefault="006A745A">
    <w:pPr>
      <w:pStyle w:val="SG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5A" w:rsidRDefault="006A745A">
      <w:r>
        <w:separator/>
      </w:r>
    </w:p>
  </w:footnote>
  <w:footnote w:type="continuationSeparator" w:id="0">
    <w:p w:rsidR="006A745A" w:rsidRDefault="006A7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9" w:type="dxa"/>
      <w:tblLayout w:type="fixed"/>
      <w:tblCellMar>
        <w:left w:w="0" w:type="dxa"/>
        <w:right w:w="0" w:type="dxa"/>
      </w:tblCellMar>
      <w:tblLook w:val="0000" w:firstRow="0" w:lastRow="0" w:firstColumn="0" w:lastColumn="0" w:noHBand="0" w:noVBand="0"/>
    </w:tblPr>
    <w:tblGrid>
      <w:gridCol w:w="2381"/>
      <w:gridCol w:w="2381"/>
      <w:gridCol w:w="2381"/>
    </w:tblGrid>
    <w:tr w:rsidR="006A745A">
      <w:trPr>
        <w:cantSplit/>
      </w:trPr>
      <w:tc>
        <w:tcPr>
          <w:tcW w:w="2381" w:type="dxa"/>
        </w:tcPr>
        <w:p w:rsidR="006A745A" w:rsidRDefault="006A745A">
          <w:pPr>
            <w:pStyle w:val="SGAHeader"/>
          </w:pPr>
        </w:p>
      </w:tc>
      <w:tc>
        <w:tcPr>
          <w:tcW w:w="2381" w:type="dxa"/>
        </w:tcPr>
        <w:p w:rsidR="006A745A" w:rsidRDefault="006A745A">
          <w:pPr>
            <w:pStyle w:val="SGAHeader"/>
          </w:pPr>
          <w:bookmarkStart w:id="2" w:name="bkmDatePageX"/>
          <w:bookmarkEnd w:id="2"/>
        </w:p>
      </w:tc>
      <w:tc>
        <w:tcPr>
          <w:tcW w:w="2381" w:type="dxa"/>
        </w:tcPr>
        <w:p w:rsidR="006A745A" w:rsidRDefault="006A745A">
          <w:pPr>
            <w:pStyle w:val="SGAHeader"/>
          </w:pPr>
        </w:p>
      </w:tc>
    </w:tr>
  </w:tbl>
  <w:p w:rsidR="006A745A" w:rsidRDefault="006A745A">
    <w:pPr>
      <w:pStyle w:val="SGA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5" w:type="dxa"/>
      <w:tblInd w:w="1132" w:type="dxa"/>
      <w:tblLayout w:type="fixed"/>
      <w:tblCellMar>
        <w:left w:w="0" w:type="dxa"/>
        <w:right w:w="0" w:type="dxa"/>
      </w:tblCellMar>
      <w:tblLook w:val="0000" w:firstRow="0" w:lastRow="0" w:firstColumn="0" w:lastColumn="0" w:noHBand="0" w:noVBand="0"/>
    </w:tblPr>
    <w:tblGrid>
      <w:gridCol w:w="1151"/>
      <w:gridCol w:w="1401"/>
      <w:gridCol w:w="980"/>
      <w:gridCol w:w="1288"/>
      <w:gridCol w:w="1066"/>
      <w:gridCol w:w="1769"/>
      <w:gridCol w:w="810"/>
    </w:tblGrid>
    <w:tr w:rsidR="006A745A" w:rsidRPr="008F6E00" w:rsidTr="008F6E00">
      <w:trPr>
        <w:gridBefore w:val="1"/>
        <w:wBefore w:w="1151" w:type="dxa"/>
        <w:cantSplit/>
      </w:trPr>
      <w:tc>
        <w:tcPr>
          <w:tcW w:w="2381" w:type="dxa"/>
          <w:gridSpan w:val="2"/>
        </w:tcPr>
        <w:p w:rsidR="006A745A" w:rsidRPr="008F6E00" w:rsidRDefault="006A745A">
          <w:pPr>
            <w:pStyle w:val="SGAHeader"/>
            <w:rPr>
              <w:lang w:val="de-CH"/>
            </w:rPr>
          </w:pPr>
        </w:p>
      </w:tc>
      <w:tc>
        <w:tcPr>
          <w:tcW w:w="2354" w:type="dxa"/>
          <w:gridSpan w:val="2"/>
        </w:tcPr>
        <w:p w:rsidR="006A745A" w:rsidRPr="008F6E00" w:rsidRDefault="006A745A">
          <w:pPr>
            <w:pStyle w:val="SGAHeader"/>
            <w:rPr>
              <w:lang w:val="de-CH"/>
            </w:rPr>
          </w:pPr>
          <w:bookmarkStart w:id="3" w:name="bkmCompanyName"/>
          <w:bookmarkEnd w:id="3"/>
        </w:p>
      </w:tc>
      <w:tc>
        <w:tcPr>
          <w:tcW w:w="2579" w:type="dxa"/>
          <w:gridSpan w:val="2"/>
        </w:tcPr>
        <w:p w:rsidR="006A745A" w:rsidRPr="008F6E00" w:rsidRDefault="006A745A">
          <w:pPr>
            <w:pStyle w:val="SGAHeaderSender"/>
            <w:rPr>
              <w:lang w:val="de-CH"/>
            </w:rPr>
          </w:pPr>
          <w:bookmarkStart w:id="4" w:name="bkmSenderData"/>
          <w:bookmarkEnd w:id="4"/>
        </w:p>
      </w:tc>
    </w:tr>
    <w:tr w:rsidR="006A745A" w:rsidRPr="00C7210C" w:rsidTr="008F6E00">
      <w:trPr>
        <w:gridAfter w:val="1"/>
        <w:wAfter w:w="810" w:type="dxa"/>
        <w:cantSplit/>
      </w:trPr>
      <w:tc>
        <w:tcPr>
          <w:tcW w:w="2552" w:type="dxa"/>
          <w:gridSpan w:val="2"/>
        </w:tcPr>
        <w:p w:rsidR="006A745A" w:rsidRPr="001A61A8" w:rsidRDefault="00C84794" w:rsidP="008F6E00">
          <w:pPr>
            <w:pStyle w:val="SGAHeaderBold"/>
            <w:rPr>
              <w:b w:val="0"/>
              <w:lang w:val="de-DE"/>
            </w:rPr>
          </w:pPr>
          <w:bookmarkStart w:id="5" w:name="bkmSenderFunction"/>
          <w:bookmarkEnd w:id="5"/>
          <w:r>
            <w:rPr>
              <w:lang w:val="de-DE"/>
            </w:rPr>
            <w:t>Martin Rodler</w:t>
          </w:r>
        </w:p>
        <w:p w:rsidR="006A745A" w:rsidRDefault="006A745A" w:rsidP="008F6E00">
          <w:pPr>
            <w:pStyle w:val="SGAHeader"/>
          </w:pPr>
        </w:p>
      </w:tc>
      <w:tc>
        <w:tcPr>
          <w:tcW w:w="2268" w:type="dxa"/>
          <w:gridSpan w:val="2"/>
        </w:tcPr>
        <w:p w:rsidR="006A745A" w:rsidRDefault="00C84794" w:rsidP="008F6E00">
          <w:pPr>
            <w:pStyle w:val="SGAHeaderSender"/>
          </w:pPr>
          <w:r>
            <w:t>Tel:</w:t>
          </w:r>
          <w:r>
            <w:tab/>
            <w:t>+41 62 868 52 46</w:t>
          </w:r>
        </w:p>
        <w:p w:rsidR="006A745A" w:rsidRPr="009C05F9" w:rsidRDefault="006A745A" w:rsidP="008F6E00">
          <w:pPr>
            <w:pStyle w:val="SGAHeaderSender"/>
            <w:rPr>
              <w:lang w:val="fr-FR"/>
            </w:rPr>
          </w:pPr>
          <w:r>
            <w:rPr>
              <w:lang w:val="fr-FR"/>
            </w:rPr>
            <w:t>Fax:</w:t>
          </w:r>
          <w:r>
            <w:rPr>
              <w:lang w:val="fr-FR"/>
            </w:rPr>
            <w:tab/>
            <w:t>+41 62 868</w:t>
          </w:r>
          <w:r w:rsidRPr="009C05F9">
            <w:rPr>
              <w:lang w:val="fr-FR"/>
            </w:rPr>
            <w:t xml:space="preserve"> </w:t>
          </w:r>
          <w:r>
            <w:rPr>
              <w:lang w:val="fr-FR"/>
            </w:rPr>
            <w:t>56</w:t>
          </w:r>
          <w:r w:rsidRPr="009C05F9">
            <w:rPr>
              <w:lang w:val="fr-FR"/>
            </w:rPr>
            <w:t xml:space="preserve"> </w:t>
          </w:r>
          <w:r>
            <w:rPr>
              <w:lang w:val="fr-FR"/>
            </w:rPr>
            <w:t>04</w:t>
          </w:r>
        </w:p>
        <w:p w:rsidR="006A745A" w:rsidRPr="009C05F9" w:rsidRDefault="00C84794" w:rsidP="008F6E00">
          <w:pPr>
            <w:pStyle w:val="SGAHeaderSender"/>
            <w:rPr>
              <w:lang w:val="fr-FR"/>
            </w:rPr>
          </w:pPr>
          <w:r>
            <w:rPr>
              <w:lang w:val="fr-FR"/>
            </w:rPr>
            <w:t>Martin.rodler</w:t>
          </w:r>
          <w:r w:rsidR="006A745A" w:rsidRPr="009C05F9">
            <w:rPr>
              <w:lang w:val="fr-FR"/>
            </w:rPr>
            <w:br/>
            <w:t>@syngenta.com</w:t>
          </w:r>
        </w:p>
      </w:tc>
      <w:tc>
        <w:tcPr>
          <w:tcW w:w="2835" w:type="dxa"/>
          <w:gridSpan w:val="2"/>
        </w:tcPr>
        <w:p w:rsidR="006A745A" w:rsidRPr="00DE31A8" w:rsidRDefault="006A745A" w:rsidP="008F6E00">
          <w:pPr>
            <w:pStyle w:val="SGAHeaderBold"/>
            <w:rPr>
              <w:lang w:val="de-CH"/>
            </w:rPr>
          </w:pPr>
          <w:r w:rsidRPr="00DE31A8">
            <w:rPr>
              <w:lang w:val="de-CH"/>
            </w:rPr>
            <w:t xml:space="preserve">Syngenta Crop Protection </w:t>
          </w:r>
        </w:p>
        <w:p w:rsidR="006A745A" w:rsidRPr="00DE31A8" w:rsidRDefault="006A745A" w:rsidP="008F6E00">
          <w:pPr>
            <w:pStyle w:val="SGAHeaderBold"/>
            <w:rPr>
              <w:lang w:val="de-CH"/>
            </w:rPr>
          </w:pPr>
          <w:r w:rsidRPr="00DE31A8">
            <w:rPr>
              <w:lang w:val="de-CH"/>
            </w:rPr>
            <w:t>Münchwilen AG</w:t>
          </w:r>
        </w:p>
        <w:p w:rsidR="006A745A" w:rsidRPr="00DE31A8" w:rsidRDefault="006A745A" w:rsidP="008F6E00">
          <w:pPr>
            <w:pStyle w:val="SGAHeader"/>
            <w:rPr>
              <w:lang w:val="de-CH"/>
            </w:rPr>
          </w:pPr>
          <w:r w:rsidRPr="00DE31A8">
            <w:rPr>
              <w:lang w:val="de-CH"/>
            </w:rPr>
            <w:t>Im Breitenloh 5</w:t>
          </w:r>
        </w:p>
        <w:p w:rsidR="006A745A" w:rsidRPr="00C050CD" w:rsidRDefault="008679EC" w:rsidP="008F6E00">
          <w:pPr>
            <w:pStyle w:val="SGAHeader"/>
            <w:rPr>
              <w:lang w:val="de-CH"/>
            </w:rPr>
          </w:pPr>
          <w:r>
            <w:rPr>
              <w:lang w:val="de-CH"/>
            </w:rPr>
            <w:t>WMU-3120.E.48</w:t>
          </w:r>
        </w:p>
        <w:p w:rsidR="006A745A" w:rsidRPr="00C050CD" w:rsidRDefault="006A745A" w:rsidP="008F6E00">
          <w:pPr>
            <w:pStyle w:val="SGAHeader"/>
            <w:rPr>
              <w:lang w:val="de-CH"/>
            </w:rPr>
          </w:pPr>
          <w:r w:rsidRPr="00C050CD">
            <w:rPr>
              <w:lang w:val="de-CH"/>
            </w:rPr>
            <w:t>CH-4333 Münchwilen</w:t>
          </w:r>
        </w:p>
        <w:p w:rsidR="006A745A" w:rsidRPr="00C050CD" w:rsidRDefault="006A745A" w:rsidP="008F6E00">
          <w:pPr>
            <w:pStyle w:val="SGAHeader"/>
            <w:rPr>
              <w:lang w:val="de-CH"/>
            </w:rPr>
          </w:pPr>
          <w:r w:rsidRPr="00C050CD">
            <w:rPr>
              <w:lang w:val="de-CH"/>
            </w:rPr>
            <w:t>Switzerland</w:t>
          </w:r>
        </w:p>
      </w:tc>
    </w:tr>
  </w:tbl>
  <w:p w:rsidR="006A745A" w:rsidRPr="008F6E00" w:rsidRDefault="006A745A">
    <w:pPr>
      <w:pStyle w:val="SGAHeader"/>
      <w:rPr>
        <w:lang w:val="de-CH"/>
      </w:rPr>
    </w:pPr>
  </w:p>
  <w:p w:rsidR="006A745A" w:rsidRPr="008F6E00" w:rsidRDefault="006A745A">
    <w:pPr>
      <w:pStyle w:val="SGAHeader"/>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029"/>
    <w:multiLevelType w:val="hybridMultilevel"/>
    <w:tmpl w:val="4B0A2E3C"/>
    <w:lvl w:ilvl="0" w:tplc="C0F87E2E">
      <w:start w:val="1"/>
      <w:numFmt w:val="lowerRoman"/>
      <w:lvlText w:val="(%1)"/>
      <w:lvlJc w:val="left"/>
      <w:pPr>
        <w:tabs>
          <w:tab w:val="num" w:pos="1080"/>
        </w:tabs>
        <w:ind w:left="108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04C7641C"/>
    <w:multiLevelType w:val="hybridMultilevel"/>
    <w:tmpl w:val="7F323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25617"/>
    <w:multiLevelType w:val="hybridMultilevel"/>
    <w:tmpl w:val="E0D84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475E6"/>
    <w:multiLevelType w:val="hybridMultilevel"/>
    <w:tmpl w:val="7A6E4254"/>
    <w:lvl w:ilvl="0" w:tplc="C0F87E2E">
      <w:start w:val="1"/>
      <w:numFmt w:val="lowerRoman"/>
      <w:lvlText w:val="(%1)"/>
      <w:lvlJc w:val="left"/>
      <w:pPr>
        <w:tabs>
          <w:tab w:val="num" w:pos="1080"/>
        </w:tabs>
        <w:ind w:left="1080" w:hanging="72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1F094EC4"/>
    <w:multiLevelType w:val="hybridMultilevel"/>
    <w:tmpl w:val="E32823AA"/>
    <w:lvl w:ilvl="0" w:tplc="60E0CA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8042B"/>
    <w:multiLevelType w:val="hybridMultilevel"/>
    <w:tmpl w:val="0C6832B2"/>
    <w:lvl w:ilvl="0" w:tplc="2C1ED8F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28656C"/>
    <w:multiLevelType w:val="hybridMultilevel"/>
    <w:tmpl w:val="117A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B42FF"/>
    <w:multiLevelType w:val="hybridMultilevel"/>
    <w:tmpl w:val="0016B7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445E88"/>
    <w:multiLevelType w:val="hybridMultilevel"/>
    <w:tmpl w:val="B378B20C"/>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448F6DEE"/>
    <w:multiLevelType w:val="hybridMultilevel"/>
    <w:tmpl w:val="2A1CCE10"/>
    <w:lvl w:ilvl="0" w:tplc="60E0CA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A7D3F79"/>
    <w:multiLevelType w:val="hybridMultilevel"/>
    <w:tmpl w:val="81866D30"/>
    <w:lvl w:ilvl="0" w:tplc="60E0CA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B16C33"/>
    <w:multiLevelType w:val="hybridMultilevel"/>
    <w:tmpl w:val="81D086F6"/>
    <w:lvl w:ilvl="0" w:tplc="E7DA490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10"/>
  </w:num>
  <w:num w:numId="5">
    <w:abstractNumId w:val="4"/>
  </w:num>
  <w:num w:numId="6">
    <w:abstractNumId w:val="9"/>
  </w:num>
  <w:num w:numId="7">
    <w:abstractNumId w:val="11"/>
  </w:num>
  <w:num w:numId="8">
    <w:abstractNumId w:val="5"/>
  </w:num>
  <w:num w:numId="9">
    <w:abstractNumId w:val="8"/>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2D"/>
    <w:rsid w:val="000129F4"/>
    <w:rsid w:val="000153A2"/>
    <w:rsid w:val="00054110"/>
    <w:rsid w:val="00055F56"/>
    <w:rsid w:val="000562A4"/>
    <w:rsid w:val="000864F0"/>
    <w:rsid w:val="00092C1E"/>
    <w:rsid w:val="00111FD8"/>
    <w:rsid w:val="00121C17"/>
    <w:rsid w:val="00144739"/>
    <w:rsid w:val="0015222B"/>
    <w:rsid w:val="00156938"/>
    <w:rsid w:val="0016257C"/>
    <w:rsid w:val="00191009"/>
    <w:rsid w:val="00195D47"/>
    <w:rsid w:val="001C7B09"/>
    <w:rsid w:val="001F69F6"/>
    <w:rsid w:val="002533BD"/>
    <w:rsid w:val="00261846"/>
    <w:rsid w:val="0027759B"/>
    <w:rsid w:val="002E1545"/>
    <w:rsid w:val="002E2F75"/>
    <w:rsid w:val="003344B6"/>
    <w:rsid w:val="003423BF"/>
    <w:rsid w:val="003449AB"/>
    <w:rsid w:val="003A11CD"/>
    <w:rsid w:val="003B7E4C"/>
    <w:rsid w:val="004471A7"/>
    <w:rsid w:val="004606AE"/>
    <w:rsid w:val="00467FBC"/>
    <w:rsid w:val="0048416A"/>
    <w:rsid w:val="004A05F3"/>
    <w:rsid w:val="004F0979"/>
    <w:rsid w:val="004F781C"/>
    <w:rsid w:val="0052481E"/>
    <w:rsid w:val="00533B2F"/>
    <w:rsid w:val="00541A05"/>
    <w:rsid w:val="00542C48"/>
    <w:rsid w:val="00553D40"/>
    <w:rsid w:val="005623DB"/>
    <w:rsid w:val="0057112B"/>
    <w:rsid w:val="00575ED4"/>
    <w:rsid w:val="00593746"/>
    <w:rsid w:val="005D0AE1"/>
    <w:rsid w:val="005D1765"/>
    <w:rsid w:val="005E166D"/>
    <w:rsid w:val="005F2CDE"/>
    <w:rsid w:val="00607F80"/>
    <w:rsid w:val="00613949"/>
    <w:rsid w:val="00620CFA"/>
    <w:rsid w:val="00625DF7"/>
    <w:rsid w:val="0068375A"/>
    <w:rsid w:val="006966B9"/>
    <w:rsid w:val="006A1195"/>
    <w:rsid w:val="006A665A"/>
    <w:rsid w:val="006A745A"/>
    <w:rsid w:val="006C0EC2"/>
    <w:rsid w:val="006C2398"/>
    <w:rsid w:val="006D3DC1"/>
    <w:rsid w:val="00702433"/>
    <w:rsid w:val="007206F8"/>
    <w:rsid w:val="00721175"/>
    <w:rsid w:val="0072642B"/>
    <w:rsid w:val="007975E9"/>
    <w:rsid w:val="007A6F0D"/>
    <w:rsid w:val="007D0FF4"/>
    <w:rsid w:val="00802467"/>
    <w:rsid w:val="00832BB8"/>
    <w:rsid w:val="008614A6"/>
    <w:rsid w:val="00863EE7"/>
    <w:rsid w:val="008679EC"/>
    <w:rsid w:val="00883A3A"/>
    <w:rsid w:val="008B7E54"/>
    <w:rsid w:val="008D08CF"/>
    <w:rsid w:val="008E3D0E"/>
    <w:rsid w:val="008E68DE"/>
    <w:rsid w:val="008F6E00"/>
    <w:rsid w:val="009449DD"/>
    <w:rsid w:val="009479AB"/>
    <w:rsid w:val="00970014"/>
    <w:rsid w:val="009B1C50"/>
    <w:rsid w:val="009D17DF"/>
    <w:rsid w:val="009F4670"/>
    <w:rsid w:val="00A10E08"/>
    <w:rsid w:val="00A447B5"/>
    <w:rsid w:val="00AD17AB"/>
    <w:rsid w:val="00AE35ED"/>
    <w:rsid w:val="00AF5A64"/>
    <w:rsid w:val="00B02149"/>
    <w:rsid w:val="00B10AF7"/>
    <w:rsid w:val="00B16A2B"/>
    <w:rsid w:val="00B40A34"/>
    <w:rsid w:val="00B47DA2"/>
    <w:rsid w:val="00B57BE1"/>
    <w:rsid w:val="00B742F4"/>
    <w:rsid w:val="00BA0FE4"/>
    <w:rsid w:val="00BB0CF4"/>
    <w:rsid w:val="00BF4085"/>
    <w:rsid w:val="00BF63F6"/>
    <w:rsid w:val="00BF73D8"/>
    <w:rsid w:val="00C0371A"/>
    <w:rsid w:val="00C149F0"/>
    <w:rsid w:val="00C278CF"/>
    <w:rsid w:val="00C5164C"/>
    <w:rsid w:val="00C551E9"/>
    <w:rsid w:val="00C7210C"/>
    <w:rsid w:val="00C75988"/>
    <w:rsid w:val="00C81B50"/>
    <w:rsid w:val="00C84794"/>
    <w:rsid w:val="00C963BA"/>
    <w:rsid w:val="00CD575F"/>
    <w:rsid w:val="00CF0496"/>
    <w:rsid w:val="00CF58E7"/>
    <w:rsid w:val="00D013ED"/>
    <w:rsid w:val="00D1429C"/>
    <w:rsid w:val="00D37385"/>
    <w:rsid w:val="00D52927"/>
    <w:rsid w:val="00D5584C"/>
    <w:rsid w:val="00D8201E"/>
    <w:rsid w:val="00D9715A"/>
    <w:rsid w:val="00DA75C2"/>
    <w:rsid w:val="00DC7CC5"/>
    <w:rsid w:val="00E24433"/>
    <w:rsid w:val="00E46C31"/>
    <w:rsid w:val="00E46DDD"/>
    <w:rsid w:val="00E5207C"/>
    <w:rsid w:val="00E836F4"/>
    <w:rsid w:val="00E9339A"/>
    <w:rsid w:val="00EA1C21"/>
    <w:rsid w:val="00EA2EEA"/>
    <w:rsid w:val="00EB15E2"/>
    <w:rsid w:val="00ED3F06"/>
    <w:rsid w:val="00F15C2D"/>
    <w:rsid w:val="00F5405D"/>
    <w:rsid w:val="00F57798"/>
    <w:rsid w:val="00F70980"/>
    <w:rsid w:val="00FE064F"/>
    <w:rsid w:val="00FE74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446"/>
    <w:pPr>
      <w:spacing w:line="240" w:lineRule="atLeast"/>
    </w:pPr>
    <w:rPr>
      <w:rFonts w:ascii="Arial" w:hAnsi="Arial"/>
      <w:lang w:val="en-US" w:eastAsia="en-US"/>
    </w:rPr>
  </w:style>
  <w:style w:type="paragraph" w:styleId="Heading3">
    <w:name w:val="heading 3"/>
    <w:basedOn w:val="Normal"/>
    <w:next w:val="Normal"/>
    <w:link w:val="Heading3Char"/>
    <w:semiHidden/>
    <w:unhideWhenUsed/>
    <w:qFormat/>
    <w:rsid w:val="00D820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606AE"/>
    <w:pPr>
      <w:keepNext/>
      <w:spacing w:line="270" w:lineRule="atLeast"/>
      <w:outlineLvl w:val="3"/>
    </w:pPr>
    <w:rPr>
      <w:rFonts w:ascii="Sabon" w:hAnsi="Sabon"/>
      <w:b/>
      <w:bCs/>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7446"/>
    <w:pPr>
      <w:spacing w:line="220" w:lineRule="atLeast"/>
    </w:pPr>
    <w:rPr>
      <w:rFonts w:ascii="Times" w:hAnsi="Times"/>
      <w:sz w:val="18"/>
    </w:rPr>
  </w:style>
  <w:style w:type="paragraph" w:customStyle="1" w:styleId="SGAGreeting">
    <w:name w:val="SGAGreeting"/>
    <w:basedOn w:val="SGAText"/>
    <w:next w:val="SGAText"/>
    <w:rsid w:val="00FE7446"/>
    <w:pPr>
      <w:spacing w:before="240"/>
    </w:pPr>
  </w:style>
  <w:style w:type="paragraph" w:customStyle="1" w:styleId="SGAText">
    <w:name w:val="SGAText"/>
    <w:basedOn w:val="Normal"/>
    <w:rsid w:val="00FE7446"/>
    <w:rPr>
      <w:lang w:val="en-GB"/>
    </w:rPr>
  </w:style>
  <w:style w:type="paragraph" w:customStyle="1" w:styleId="SGASignature">
    <w:name w:val="SGASignature"/>
    <w:basedOn w:val="SGAText"/>
    <w:next w:val="SGAText"/>
    <w:rsid w:val="00FE7446"/>
    <w:pPr>
      <w:tabs>
        <w:tab w:val="left" w:pos="4763"/>
      </w:tabs>
      <w:spacing w:before="720" w:after="480"/>
    </w:pPr>
  </w:style>
  <w:style w:type="paragraph" w:customStyle="1" w:styleId="SGADate">
    <w:name w:val="SGADate"/>
    <w:basedOn w:val="SGAText"/>
    <w:next w:val="SGAConcernig"/>
    <w:rsid w:val="00FE7446"/>
    <w:pPr>
      <w:spacing w:before="960"/>
    </w:pPr>
  </w:style>
  <w:style w:type="paragraph" w:customStyle="1" w:styleId="SGAConcernig">
    <w:name w:val="SGAConcernig"/>
    <w:basedOn w:val="SGAText"/>
    <w:next w:val="SGAText"/>
    <w:rsid w:val="00FE7446"/>
    <w:pPr>
      <w:spacing w:after="480"/>
    </w:pPr>
    <w:rPr>
      <w:b/>
    </w:rPr>
  </w:style>
  <w:style w:type="paragraph" w:styleId="Footer">
    <w:name w:val="footer"/>
    <w:basedOn w:val="Normal"/>
    <w:rsid w:val="00FE7446"/>
    <w:pPr>
      <w:spacing w:line="240" w:lineRule="auto"/>
    </w:pPr>
    <w:rPr>
      <w:sz w:val="16"/>
    </w:rPr>
  </w:style>
  <w:style w:type="paragraph" w:customStyle="1" w:styleId="SGAFooter">
    <w:name w:val="SGAFooter"/>
    <w:basedOn w:val="SGAText"/>
    <w:rsid w:val="00FE7446"/>
    <w:pPr>
      <w:spacing w:line="180" w:lineRule="atLeast"/>
    </w:pPr>
    <w:rPr>
      <w:rFonts w:ascii="Times New Roman" w:hAnsi="Times New Roman"/>
      <w:sz w:val="16"/>
    </w:rPr>
  </w:style>
  <w:style w:type="character" w:styleId="PageNumber">
    <w:name w:val="page number"/>
    <w:basedOn w:val="DefaultParagraphFont"/>
    <w:rsid w:val="00FE7446"/>
  </w:style>
  <w:style w:type="paragraph" w:customStyle="1" w:styleId="SGAHeader">
    <w:name w:val="SGAHeader"/>
    <w:basedOn w:val="Normal"/>
    <w:rsid w:val="00FE7446"/>
    <w:pPr>
      <w:spacing w:line="220" w:lineRule="atLeast"/>
    </w:pPr>
    <w:rPr>
      <w:rFonts w:ascii="Times New Roman" w:hAnsi="Times New Roman"/>
      <w:noProof/>
      <w:sz w:val="18"/>
    </w:rPr>
  </w:style>
  <w:style w:type="paragraph" w:customStyle="1" w:styleId="SGAHeaderBold">
    <w:name w:val="SGAHeaderBold"/>
    <w:basedOn w:val="SGAHeader"/>
    <w:rsid w:val="00FE7446"/>
    <w:rPr>
      <w:b/>
    </w:rPr>
  </w:style>
  <w:style w:type="paragraph" w:styleId="BodyTextIndent">
    <w:name w:val="Body Text Indent"/>
    <w:basedOn w:val="Normal"/>
    <w:rsid w:val="00FE7446"/>
    <w:pPr>
      <w:spacing w:line="240" w:lineRule="auto"/>
      <w:ind w:left="720"/>
    </w:pPr>
    <w:rPr>
      <w:rFonts w:ascii="Times New Roman" w:hAnsi="Times New Roman"/>
      <w:i/>
      <w:iCs/>
      <w:sz w:val="24"/>
      <w:szCs w:val="24"/>
      <w:lang w:val="en-GB"/>
    </w:rPr>
  </w:style>
  <w:style w:type="paragraph" w:customStyle="1" w:styleId="SGARecipient">
    <w:name w:val="SGARecipient"/>
    <w:basedOn w:val="SGAText"/>
    <w:rsid w:val="00FE7446"/>
    <w:pPr>
      <w:tabs>
        <w:tab w:val="left" w:pos="4763"/>
      </w:tabs>
    </w:pPr>
  </w:style>
  <w:style w:type="paragraph" w:customStyle="1" w:styleId="SGAHeaderSender">
    <w:name w:val="SGAHeaderSender"/>
    <w:basedOn w:val="SGAHeader"/>
    <w:rsid w:val="00FE7446"/>
    <w:pPr>
      <w:tabs>
        <w:tab w:val="left" w:pos="680"/>
      </w:tabs>
    </w:pPr>
  </w:style>
  <w:style w:type="paragraph" w:styleId="BodyText">
    <w:name w:val="Body Text"/>
    <w:basedOn w:val="Normal"/>
    <w:rsid w:val="00FE7446"/>
    <w:pPr>
      <w:spacing w:line="240" w:lineRule="auto"/>
    </w:pPr>
    <w:rPr>
      <w:rFonts w:ascii="Times New Roman" w:hAnsi="Times New Roman"/>
      <w:i/>
      <w:iCs/>
      <w:sz w:val="24"/>
      <w:szCs w:val="24"/>
      <w:lang w:val="en-GB"/>
    </w:rPr>
  </w:style>
  <w:style w:type="paragraph" w:styleId="BodyTextIndent2">
    <w:name w:val="Body Text Indent 2"/>
    <w:basedOn w:val="Normal"/>
    <w:rsid w:val="00FE7446"/>
    <w:pPr>
      <w:spacing w:line="240" w:lineRule="auto"/>
      <w:ind w:left="360"/>
    </w:pPr>
    <w:rPr>
      <w:rFonts w:ascii="Times New Roman" w:hAnsi="Times New Roman"/>
      <w:sz w:val="24"/>
      <w:szCs w:val="24"/>
      <w:lang w:val="en-GB"/>
    </w:rPr>
  </w:style>
  <w:style w:type="paragraph" w:styleId="BodyTextIndent3">
    <w:name w:val="Body Text Indent 3"/>
    <w:basedOn w:val="Normal"/>
    <w:rsid w:val="00FE7446"/>
    <w:pPr>
      <w:ind w:left="720"/>
    </w:pPr>
    <w:rPr>
      <w:rFonts w:ascii="Times New Roman" w:hAnsi="Times New Roman"/>
      <w:b/>
      <w:bCs/>
      <w:sz w:val="22"/>
    </w:rPr>
  </w:style>
  <w:style w:type="paragraph" w:styleId="BodyText2">
    <w:name w:val="Body Text 2"/>
    <w:basedOn w:val="Normal"/>
    <w:rsid w:val="00FE7446"/>
    <w:pPr>
      <w:jc w:val="center"/>
    </w:pPr>
    <w:rPr>
      <w:b/>
      <w:bCs/>
      <w:sz w:val="24"/>
    </w:rPr>
  </w:style>
  <w:style w:type="paragraph" w:styleId="BodyText3">
    <w:name w:val="Body Text 3"/>
    <w:basedOn w:val="Normal"/>
    <w:rsid w:val="00FE7446"/>
    <w:rPr>
      <w:sz w:val="22"/>
    </w:rPr>
  </w:style>
  <w:style w:type="paragraph" w:styleId="BalloonText">
    <w:name w:val="Balloon Text"/>
    <w:basedOn w:val="Normal"/>
    <w:semiHidden/>
    <w:rsid w:val="00B47DA2"/>
    <w:rPr>
      <w:rFonts w:ascii="Tahoma" w:hAnsi="Tahoma" w:cs="Tahoma"/>
      <w:sz w:val="16"/>
      <w:szCs w:val="16"/>
    </w:rPr>
  </w:style>
  <w:style w:type="paragraph" w:styleId="FootnoteText">
    <w:name w:val="footnote text"/>
    <w:basedOn w:val="Normal"/>
    <w:semiHidden/>
    <w:rsid w:val="00E46DDD"/>
  </w:style>
  <w:style w:type="character" w:styleId="FootnoteReference">
    <w:name w:val="footnote reference"/>
    <w:basedOn w:val="DefaultParagraphFont"/>
    <w:semiHidden/>
    <w:rsid w:val="00E46DDD"/>
    <w:rPr>
      <w:vertAlign w:val="superscript"/>
    </w:rPr>
  </w:style>
  <w:style w:type="table" w:styleId="TableGrid">
    <w:name w:val="Table Grid"/>
    <w:basedOn w:val="TableNormal"/>
    <w:rsid w:val="002E2F7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D8201E"/>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D82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446"/>
    <w:pPr>
      <w:spacing w:line="240" w:lineRule="atLeast"/>
    </w:pPr>
    <w:rPr>
      <w:rFonts w:ascii="Arial" w:hAnsi="Arial"/>
      <w:lang w:val="en-US" w:eastAsia="en-US"/>
    </w:rPr>
  </w:style>
  <w:style w:type="paragraph" w:styleId="Heading3">
    <w:name w:val="heading 3"/>
    <w:basedOn w:val="Normal"/>
    <w:next w:val="Normal"/>
    <w:link w:val="Heading3Char"/>
    <w:semiHidden/>
    <w:unhideWhenUsed/>
    <w:qFormat/>
    <w:rsid w:val="00D820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606AE"/>
    <w:pPr>
      <w:keepNext/>
      <w:spacing w:line="270" w:lineRule="atLeast"/>
      <w:outlineLvl w:val="3"/>
    </w:pPr>
    <w:rPr>
      <w:rFonts w:ascii="Sabon" w:hAnsi="Sabon"/>
      <w:b/>
      <w:bCs/>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7446"/>
    <w:pPr>
      <w:spacing w:line="220" w:lineRule="atLeast"/>
    </w:pPr>
    <w:rPr>
      <w:rFonts w:ascii="Times" w:hAnsi="Times"/>
      <w:sz w:val="18"/>
    </w:rPr>
  </w:style>
  <w:style w:type="paragraph" w:customStyle="1" w:styleId="SGAGreeting">
    <w:name w:val="SGAGreeting"/>
    <w:basedOn w:val="SGAText"/>
    <w:next w:val="SGAText"/>
    <w:rsid w:val="00FE7446"/>
    <w:pPr>
      <w:spacing w:before="240"/>
    </w:pPr>
  </w:style>
  <w:style w:type="paragraph" w:customStyle="1" w:styleId="SGAText">
    <w:name w:val="SGAText"/>
    <w:basedOn w:val="Normal"/>
    <w:rsid w:val="00FE7446"/>
    <w:rPr>
      <w:lang w:val="en-GB"/>
    </w:rPr>
  </w:style>
  <w:style w:type="paragraph" w:customStyle="1" w:styleId="SGASignature">
    <w:name w:val="SGASignature"/>
    <w:basedOn w:val="SGAText"/>
    <w:next w:val="SGAText"/>
    <w:rsid w:val="00FE7446"/>
    <w:pPr>
      <w:tabs>
        <w:tab w:val="left" w:pos="4763"/>
      </w:tabs>
      <w:spacing w:before="720" w:after="480"/>
    </w:pPr>
  </w:style>
  <w:style w:type="paragraph" w:customStyle="1" w:styleId="SGADate">
    <w:name w:val="SGADate"/>
    <w:basedOn w:val="SGAText"/>
    <w:next w:val="SGAConcernig"/>
    <w:rsid w:val="00FE7446"/>
    <w:pPr>
      <w:spacing w:before="960"/>
    </w:pPr>
  </w:style>
  <w:style w:type="paragraph" w:customStyle="1" w:styleId="SGAConcernig">
    <w:name w:val="SGAConcernig"/>
    <w:basedOn w:val="SGAText"/>
    <w:next w:val="SGAText"/>
    <w:rsid w:val="00FE7446"/>
    <w:pPr>
      <w:spacing w:after="480"/>
    </w:pPr>
    <w:rPr>
      <w:b/>
    </w:rPr>
  </w:style>
  <w:style w:type="paragraph" w:styleId="Footer">
    <w:name w:val="footer"/>
    <w:basedOn w:val="Normal"/>
    <w:rsid w:val="00FE7446"/>
    <w:pPr>
      <w:spacing w:line="240" w:lineRule="auto"/>
    </w:pPr>
    <w:rPr>
      <w:sz w:val="16"/>
    </w:rPr>
  </w:style>
  <w:style w:type="paragraph" w:customStyle="1" w:styleId="SGAFooter">
    <w:name w:val="SGAFooter"/>
    <w:basedOn w:val="SGAText"/>
    <w:rsid w:val="00FE7446"/>
    <w:pPr>
      <w:spacing w:line="180" w:lineRule="atLeast"/>
    </w:pPr>
    <w:rPr>
      <w:rFonts w:ascii="Times New Roman" w:hAnsi="Times New Roman"/>
      <w:sz w:val="16"/>
    </w:rPr>
  </w:style>
  <w:style w:type="character" w:styleId="PageNumber">
    <w:name w:val="page number"/>
    <w:basedOn w:val="DefaultParagraphFont"/>
    <w:rsid w:val="00FE7446"/>
  </w:style>
  <w:style w:type="paragraph" w:customStyle="1" w:styleId="SGAHeader">
    <w:name w:val="SGAHeader"/>
    <w:basedOn w:val="Normal"/>
    <w:rsid w:val="00FE7446"/>
    <w:pPr>
      <w:spacing w:line="220" w:lineRule="atLeast"/>
    </w:pPr>
    <w:rPr>
      <w:rFonts w:ascii="Times New Roman" w:hAnsi="Times New Roman"/>
      <w:noProof/>
      <w:sz w:val="18"/>
    </w:rPr>
  </w:style>
  <w:style w:type="paragraph" w:customStyle="1" w:styleId="SGAHeaderBold">
    <w:name w:val="SGAHeaderBold"/>
    <w:basedOn w:val="SGAHeader"/>
    <w:rsid w:val="00FE7446"/>
    <w:rPr>
      <w:b/>
    </w:rPr>
  </w:style>
  <w:style w:type="paragraph" w:styleId="BodyTextIndent">
    <w:name w:val="Body Text Indent"/>
    <w:basedOn w:val="Normal"/>
    <w:rsid w:val="00FE7446"/>
    <w:pPr>
      <w:spacing w:line="240" w:lineRule="auto"/>
      <w:ind w:left="720"/>
    </w:pPr>
    <w:rPr>
      <w:rFonts w:ascii="Times New Roman" w:hAnsi="Times New Roman"/>
      <w:i/>
      <w:iCs/>
      <w:sz w:val="24"/>
      <w:szCs w:val="24"/>
      <w:lang w:val="en-GB"/>
    </w:rPr>
  </w:style>
  <w:style w:type="paragraph" w:customStyle="1" w:styleId="SGARecipient">
    <w:name w:val="SGARecipient"/>
    <w:basedOn w:val="SGAText"/>
    <w:rsid w:val="00FE7446"/>
    <w:pPr>
      <w:tabs>
        <w:tab w:val="left" w:pos="4763"/>
      </w:tabs>
    </w:pPr>
  </w:style>
  <w:style w:type="paragraph" w:customStyle="1" w:styleId="SGAHeaderSender">
    <w:name w:val="SGAHeaderSender"/>
    <w:basedOn w:val="SGAHeader"/>
    <w:rsid w:val="00FE7446"/>
    <w:pPr>
      <w:tabs>
        <w:tab w:val="left" w:pos="680"/>
      </w:tabs>
    </w:pPr>
  </w:style>
  <w:style w:type="paragraph" w:styleId="BodyText">
    <w:name w:val="Body Text"/>
    <w:basedOn w:val="Normal"/>
    <w:rsid w:val="00FE7446"/>
    <w:pPr>
      <w:spacing w:line="240" w:lineRule="auto"/>
    </w:pPr>
    <w:rPr>
      <w:rFonts w:ascii="Times New Roman" w:hAnsi="Times New Roman"/>
      <w:i/>
      <w:iCs/>
      <w:sz w:val="24"/>
      <w:szCs w:val="24"/>
      <w:lang w:val="en-GB"/>
    </w:rPr>
  </w:style>
  <w:style w:type="paragraph" w:styleId="BodyTextIndent2">
    <w:name w:val="Body Text Indent 2"/>
    <w:basedOn w:val="Normal"/>
    <w:rsid w:val="00FE7446"/>
    <w:pPr>
      <w:spacing w:line="240" w:lineRule="auto"/>
      <w:ind w:left="360"/>
    </w:pPr>
    <w:rPr>
      <w:rFonts w:ascii="Times New Roman" w:hAnsi="Times New Roman"/>
      <w:sz w:val="24"/>
      <w:szCs w:val="24"/>
      <w:lang w:val="en-GB"/>
    </w:rPr>
  </w:style>
  <w:style w:type="paragraph" w:styleId="BodyTextIndent3">
    <w:name w:val="Body Text Indent 3"/>
    <w:basedOn w:val="Normal"/>
    <w:rsid w:val="00FE7446"/>
    <w:pPr>
      <w:ind w:left="720"/>
    </w:pPr>
    <w:rPr>
      <w:rFonts w:ascii="Times New Roman" w:hAnsi="Times New Roman"/>
      <w:b/>
      <w:bCs/>
      <w:sz w:val="22"/>
    </w:rPr>
  </w:style>
  <w:style w:type="paragraph" w:styleId="BodyText2">
    <w:name w:val="Body Text 2"/>
    <w:basedOn w:val="Normal"/>
    <w:rsid w:val="00FE7446"/>
    <w:pPr>
      <w:jc w:val="center"/>
    </w:pPr>
    <w:rPr>
      <w:b/>
      <w:bCs/>
      <w:sz w:val="24"/>
    </w:rPr>
  </w:style>
  <w:style w:type="paragraph" w:styleId="BodyText3">
    <w:name w:val="Body Text 3"/>
    <w:basedOn w:val="Normal"/>
    <w:rsid w:val="00FE7446"/>
    <w:rPr>
      <w:sz w:val="22"/>
    </w:rPr>
  </w:style>
  <w:style w:type="paragraph" w:styleId="BalloonText">
    <w:name w:val="Balloon Text"/>
    <w:basedOn w:val="Normal"/>
    <w:semiHidden/>
    <w:rsid w:val="00B47DA2"/>
    <w:rPr>
      <w:rFonts w:ascii="Tahoma" w:hAnsi="Tahoma" w:cs="Tahoma"/>
      <w:sz w:val="16"/>
      <w:szCs w:val="16"/>
    </w:rPr>
  </w:style>
  <w:style w:type="paragraph" w:styleId="FootnoteText">
    <w:name w:val="footnote text"/>
    <w:basedOn w:val="Normal"/>
    <w:semiHidden/>
    <w:rsid w:val="00E46DDD"/>
  </w:style>
  <w:style w:type="character" w:styleId="FootnoteReference">
    <w:name w:val="footnote reference"/>
    <w:basedOn w:val="DefaultParagraphFont"/>
    <w:semiHidden/>
    <w:rsid w:val="00E46DDD"/>
    <w:rPr>
      <w:vertAlign w:val="superscript"/>
    </w:rPr>
  </w:style>
  <w:style w:type="table" w:styleId="TableGrid">
    <w:name w:val="Table Grid"/>
    <w:basedOn w:val="TableNormal"/>
    <w:rsid w:val="002E2F7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D8201E"/>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D8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4843">
      <w:bodyDiv w:val="1"/>
      <w:marLeft w:val="0"/>
      <w:marRight w:val="0"/>
      <w:marTop w:val="0"/>
      <w:marBottom w:val="0"/>
      <w:divBdr>
        <w:top w:val="none" w:sz="0" w:space="0" w:color="auto"/>
        <w:left w:val="none" w:sz="0" w:space="0" w:color="auto"/>
        <w:bottom w:val="none" w:sz="0" w:space="0" w:color="auto"/>
        <w:right w:val="none" w:sz="0" w:space="0" w:color="auto"/>
      </w:divBdr>
    </w:div>
    <w:div w:id="1529218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341">
          <w:marLeft w:val="0"/>
          <w:marRight w:val="0"/>
          <w:marTop w:val="0"/>
          <w:marBottom w:val="0"/>
          <w:divBdr>
            <w:top w:val="none" w:sz="0" w:space="0" w:color="auto"/>
            <w:left w:val="none" w:sz="0" w:space="0" w:color="auto"/>
            <w:bottom w:val="none" w:sz="0" w:space="0" w:color="auto"/>
            <w:right w:val="none" w:sz="0" w:space="0" w:color="auto"/>
          </w:divBdr>
          <w:divsChild>
            <w:div w:id="1800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ZENBIN\SYNGENTATEMPLATES\WORD\SGALetterhead.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BJHFC01VFIL04\X525590$\Word\Formulations\Pirimiphos-methyl\NS01999\RR%20method%20investigatio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BJHFC01VFIL04\X525590$\Word\Formulations\Pirimiphos-methyl\NS01999\RR%20method%20investigation.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'Round robin'!$B$1</c:f>
              <c:strCache>
                <c:ptCount val="1"/>
                <c:pt idx="0">
                  <c:v>17.0-19.0°C</c:v>
                </c:pt>
              </c:strCache>
            </c:strRef>
          </c:tx>
          <c:xVal>
            <c:numRef>
              <c:f>'Round robin'!$A$2:$A$4</c:f>
              <c:numCache>
                <c:formatCode>General</c:formatCode>
                <c:ptCount val="3"/>
                <c:pt idx="0">
                  <c:v>15</c:v>
                </c:pt>
                <c:pt idx="1">
                  <c:v>60</c:v>
                </c:pt>
                <c:pt idx="2">
                  <c:v>180</c:v>
                </c:pt>
              </c:numCache>
            </c:numRef>
          </c:xVal>
          <c:yVal>
            <c:numRef>
              <c:f>'Round robin'!$B$2:$B$4</c:f>
              <c:numCache>
                <c:formatCode>General</c:formatCode>
                <c:ptCount val="3"/>
                <c:pt idx="0">
                  <c:v>43</c:v>
                </c:pt>
                <c:pt idx="1">
                  <c:v>48</c:v>
                </c:pt>
                <c:pt idx="2">
                  <c:v>65</c:v>
                </c:pt>
              </c:numCache>
            </c:numRef>
          </c:yVal>
          <c:smooth val="0"/>
        </c:ser>
        <c:ser>
          <c:idx val="1"/>
          <c:order val="1"/>
          <c:tx>
            <c:strRef>
              <c:f>'Round robin'!$C$1</c:f>
              <c:strCache>
                <c:ptCount val="1"/>
                <c:pt idx="0">
                  <c:v>21.0-22.5°C</c:v>
                </c:pt>
              </c:strCache>
            </c:strRef>
          </c:tx>
          <c:xVal>
            <c:numRef>
              <c:f>'Round robin'!$A$2:$A$4</c:f>
              <c:numCache>
                <c:formatCode>General</c:formatCode>
                <c:ptCount val="3"/>
                <c:pt idx="0">
                  <c:v>15</c:v>
                </c:pt>
                <c:pt idx="1">
                  <c:v>60</c:v>
                </c:pt>
                <c:pt idx="2">
                  <c:v>180</c:v>
                </c:pt>
              </c:numCache>
            </c:numRef>
          </c:xVal>
          <c:yVal>
            <c:numRef>
              <c:f>'Round robin'!$C$2:$C$4</c:f>
              <c:numCache>
                <c:formatCode>General</c:formatCode>
                <c:ptCount val="3"/>
                <c:pt idx="0">
                  <c:v>46</c:v>
                </c:pt>
                <c:pt idx="1">
                  <c:v>54</c:v>
                </c:pt>
                <c:pt idx="2">
                  <c:v>81</c:v>
                </c:pt>
              </c:numCache>
            </c:numRef>
          </c:yVal>
          <c:smooth val="0"/>
        </c:ser>
        <c:ser>
          <c:idx val="2"/>
          <c:order val="2"/>
          <c:tx>
            <c:strRef>
              <c:f>'Round robin'!$D$1</c:f>
              <c:strCache>
                <c:ptCount val="1"/>
                <c:pt idx="0">
                  <c:v>Lower limit</c:v>
                </c:pt>
              </c:strCache>
            </c:strRef>
          </c:tx>
          <c:xVal>
            <c:numRef>
              <c:f>'Round robin'!$A$2:$A$4</c:f>
              <c:numCache>
                <c:formatCode>General</c:formatCode>
                <c:ptCount val="3"/>
                <c:pt idx="0">
                  <c:v>15</c:v>
                </c:pt>
                <c:pt idx="1">
                  <c:v>60</c:v>
                </c:pt>
                <c:pt idx="2">
                  <c:v>180</c:v>
                </c:pt>
              </c:numCache>
            </c:numRef>
          </c:xVal>
          <c:yVal>
            <c:numRef>
              <c:f>'Round robin'!$D$2:$D$4</c:f>
              <c:numCache>
                <c:formatCode>General</c:formatCode>
                <c:ptCount val="3"/>
                <c:pt idx="0">
                  <c:v>35</c:v>
                </c:pt>
                <c:pt idx="1">
                  <c:v>45</c:v>
                </c:pt>
                <c:pt idx="2">
                  <c:v>70</c:v>
                </c:pt>
              </c:numCache>
            </c:numRef>
          </c:yVal>
          <c:smooth val="0"/>
        </c:ser>
        <c:ser>
          <c:idx val="3"/>
          <c:order val="3"/>
          <c:tx>
            <c:strRef>
              <c:f>'Round robin'!$E$1</c:f>
              <c:strCache>
                <c:ptCount val="1"/>
                <c:pt idx="0">
                  <c:v>Upper limit</c:v>
                </c:pt>
              </c:strCache>
            </c:strRef>
          </c:tx>
          <c:xVal>
            <c:numRef>
              <c:f>'Round robin'!$A$2:$A$4</c:f>
              <c:numCache>
                <c:formatCode>General</c:formatCode>
                <c:ptCount val="3"/>
                <c:pt idx="0">
                  <c:v>15</c:v>
                </c:pt>
                <c:pt idx="1">
                  <c:v>60</c:v>
                </c:pt>
                <c:pt idx="2">
                  <c:v>180</c:v>
                </c:pt>
              </c:numCache>
            </c:numRef>
          </c:xVal>
          <c:yVal>
            <c:numRef>
              <c:f>'Round robin'!$E$2:$E$4</c:f>
              <c:numCache>
                <c:formatCode>General</c:formatCode>
                <c:ptCount val="3"/>
                <c:pt idx="0">
                  <c:v>65</c:v>
                </c:pt>
                <c:pt idx="1">
                  <c:v>80</c:v>
                </c:pt>
                <c:pt idx="2">
                  <c:v>100</c:v>
                </c:pt>
              </c:numCache>
            </c:numRef>
          </c:yVal>
          <c:smooth val="0"/>
        </c:ser>
        <c:dLbls>
          <c:showLegendKey val="0"/>
          <c:showVal val="0"/>
          <c:showCatName val="0"/>
          <c:showSerName val="0"/>
          <c:showPercent val="0"/>
          <c:showBubbleSize val="0"/>
        </c:dLbls>
        <c:axId val="97412992"/>
        <c:axId val="101019648"/>
      </c:scatterChart>
      <c:valAx>
        <c:axId val="97412992"/>
        <c:scaling>
          <c:orientation val="minMax"/>
          <c:max val="185"/>
          <c:min val="0"/>
        </c:scaling>
        <c:delete val="0"/>
        <c:axPos val="b"/>
        <c:title>
          <c:tx>
            <c:rich>
              <a:bodyPr/>
              <a:lstStyle/>
              <a:p>
                <a:pPr>
                  <a:defRPr/>
                </a:pPr>
                <a:r>
                  <a:rPr lang="en-GB"/>
                  <a:t>Rolling time (min)</a:t>
                </a:r>
              </a:p>
            </c:rich>
          </c:tx>
          <c:layout/>
          <c:overlay val="0"/>
        </c:title>
        <c:numFmt formatCode="General" sourceLinked="1"/>
        <c:majorTickMark val="out"/>
        <c:minorTickMark val="none"/>
        <c:tickLblPos val="nextTo"/>
        <c:crossAx val="101019648"/>
        <c:crosses val="autoZero"/>
        <c:crossBetween val="midCat"/>
        <c:majorUnit val="30"/>
      </c:valAx>
      <c:valAx>
        <c:axId val="101019648"/>
        <c:scaling>
          <c:orientation val="minMax"/>
          <c:max val="105"/>
          <c:min val="30"/>
        </c:scaling>
        <c:delete val="0"/>
        <c:axPos val="l"/>
        <c:title>
          <c:tx>
            <c:rich>
              <a:bodyPr rot="-5400000" vert="horz"/>
              <a:lstStyle/>
              <a:p>
                <a:pPr>
                  <a:defRPr/>
                </a:pPr>
                <a:r>
                  <a:rPr lang="en-GB"/>
                  <a:t>Proportion of AI extracted (%)</a:t>
                </a:r>
              </a:p>
            </c:rich>
          </c:tx>
          <c:layout/>
          <c:overlay val="0"/>
        </c:title>
        <c:numFmt formatCode="General" sourceLinked="1"/>
        <c:majorTickMark val="out"/>
        <c:minorTickMark val="none"/>
        <c:tickLblPos val="nextTo"/>
        <c:crossAx val="97412992"/>
        <c:crosses val="autoZero"/>
        <c:crossBetween val="midCat"/>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'NS01999 only'!$B$1</c:f>
              <c:strCache>
                <c:ptCount val="1"/>
                <c:pt idx="0">
                  <c:v>15.5°C</c:v>
                </c:pt>
              </c:strCache>
            </c:strRef>
          </c:tx>
          <c:xVal>
            <c:numRef>
              <c:f>'NS01999 only'!$A$2:$A$4</c:f>
              <c:numCache>
                <c:formatCode>General</c:formatCode>
                <c:ptCount val="3"/>
                <c:pt idx="0">
                  <c:v>15</c:v>
                </c:pt>
                <c:pt idx="1">
                  <c:v>60</c:v>
                </c:pt>
                <c:pt idx="2">
                  <c:v>180</c:v>
                </c:pt>
              </c:numCache>
            </c:numRef>
          </c:xVal>
          <c:yVal>
            <c:numRef>
              <c:f>'NS01999 only'!$B$2:$B$4</c:f>
              <c:numCache>
                <c:formatCode>General</c:formatCode>
                <c:ptCount val="3"/>
                <c:pt idx="0">
                  <c:v>47</c:v>
                </c:pt>
                <c:pt idx="1">
                  <c:v>52</c:v>
                </c:pt>
                <c:pt idx="2">
                  <c:v>71</c:v>
                </c:pt>
              </c:numCache>
            </c:numRef>
          </c:yVal>
          <c:smooth val="0"/>
        </c:ser>
        <c:ser>
          <c:idx val="1"/>
          <c:order val="1"/>
          <c:tx>
            <c:strRef>
              <c:f>'NS01999 only'!$C$1</c:f>
              <c:strCache>
                <c:ptCount val="1"/>
                <c:pt idx="0">
                  <c:v>15.5°C </c:v>
                </c:pt>
              </c:strCache>
            </c:strRef>
          </c:tx>
          <c:xVal>
            <c:numRef>
              <c:f>'NS01999 only'!$A$2:$A$4</c:f>
              <c:numCache>
                <c:formatCode>General</c:formatCode>
                <c:ptCount val="3"/>
                <c:pt idx="0">
                  <c:v>15</c:v>
                </c:pt>
                <c:pt idx="1">
                  <c:v>60</c:v>
                </c:pt>
                <c:pt idx="2">
                  <c:v>180</c:v>
                </c:pt>
              </c:numCache>
            </c:numRef>
          </c:xVal>
          <c:yVal>
            <c:numRef>
              <c:f>'NS01999 only'!$C$2:$C$4</c:f>
              <c:numCache>
                <c:formatCode>General</c:formatCode>
                <c:ptCount val="3"/>
                <c:pt idx="0">
                  <c:v>45</c:v>
                </c:pt>
                <c:pt idx="1">
                  <c:v>50</c:v>
                </c:pt>
                <c:pt idx="2">
                  <c:v>66</c:v>
                </c:pt>
              </c:numCache>
            </c:numRef>
          </c:yVal>
          <c:smooth val="0"/>
        </c:ser>
        <c:ser>
          <c:idx val="2"/>
          <c:order val="2"/>
          <c:tx>
            <c:strRef>
              <c:f>'NS01999 only'!$D$1</c:f>
              <c:strCache>
                <c:ptCount val="1"/>
                <c:pt idx="0">
                  <c:v>20.0°C </c:v>
                </c:pt>
              </c:strCache>
            </c:strRef>
          </c:tx>
          <c:xVal>
            <c:numRef>
              <c:f>'NS01999 only'!$A$2:$A$4</c:f>
              <c:numCache>
                <c:formatCode>General</c:formatCode>
                <c:ptCount val="3"/>
                <c:pt idx="0">
                  <c:v>15</c:v>
                </c:pt>
                <c:pt idx="1">
                  <c:v>60</c:v>
                </c:pt>
                <c:pt idx="2">
                  <c:v>180</c:v>
                </c:pt>
              </c:numCache>
            </c:numRef>
          </c:xVal>
          <c:yVal>
            <c:numRef>
              <c:f>'NS01999 only'!$D$2:$D$4</c:f>
              <c:numCache>
                <c:formatCode>General</c:formatCode>
                <c:ptCount val="3"/>
                <c:pt idx="0">
                  <c:v>48</c:v>
                </c:pt>
                <c:pt idx="1">
                  <c:v>55</c:v>
                </c:pt>
                <c:pt idx="2">
                  <c:v>84</c:v>
                </c:pt>
              </c:numCache>
            </c:numRef>
          </c:yVal>
          <c:smooth val="0"/>
        </c:ser>
        <c:ser>
          <c:idx val="3"/>
          <c:order val="3"/>
          <c:tx>
            <c:strRef>
              <c:f>'NS01999 only'!$E$1</c:f>
              <c:strCache>
                <c:ptCount val="1"/>
                <c:pt idx="0">
                  <c:v>25.5°C </c:v>
                </c:pt>
              </c:strCache>
            </c:strRef>
          </c:tx>
          <c:xVal>
            <c:numRef>
              <c:f>'NS01999 only'!$A$2:$A$4</c:f>
              <c:numCache>
                <c:formatCode>General</c:formatCode>
                <c:ptCount val="3"/>
                <c:pt idx="0">
                  <c:v>15</c:v>
                </c:pt>
                <c:pt idx="1">
                  <c:v>60</c:v>
                </c:pt>
                <c:pt idx="2">
                  <c:v>180</c:v>
                </c:pt>
              </c:numCache>
            </c:numRef>
          </c:xVal>
          <c:yVal>
            <c:numRef>
              <c:f>'NS01999 only'!$E$2:$E$4</c:f>
              <c:numCache>
                <c:formatCode>General</c:formatCode>
                <c:ptCount val="3"/>
                <c:pt idx="0">
                  <c:v>50</c:v>
                </c:pt>
                <c:pt idx="1">
                  <c:v>71</c:v>
                </c:pt>
                <c:pt idx="2">
                  <c:v>102</c:v>
                </c:pt>
              </c:numCache>
            </c:numRef>
          </c:yVal>
          <c:smooth val="0"/>
        </c:ser>
        <c:ser>
          <c:idx val="4"/>
          <c:order val="4"/>
          <c:tx>
            <c:strRef>
              <c:f>'NS01999 only'!$F$1</c:f>
              <c:strCache>
                <c:ptCount val="1"/>
                <c:pt idx="0">
                  <c:v>30.0°C </c:v>
                </c:pt>
              </c:strCache>
            </c:strRef>
          </c:tx>
          <c:xVal>
            <c:numRef>
              <c:f>'NS01999 only'!$A$2:$A$4</c:f>
              <c:numCache>
                <c:formatCode>General</c:formatCode>
                <c:ptCount val="3"/>
                <c:pt idx="0">
                  <c:v>15</c:v>
                </c:pt>
                <c:pt idx="1">
                  <c:v>60</c:v>
                </c:pt>
                <c:pt idx="2">
                  <c:v>180</c:v>
                </c:pt>
              </c:numCache>
            </c:numRef>
          </c:xVal>
          <c:yVal>
            <c:numRef>
              <c:f>'NS01999 only'!$F$2:$F$4</c:f>
              <c:numCache>
                <c:formatCode>General</c:formatCode>
                <c:ptCount val="3"/>
                <c:pt idx="0">
                  <c:v>51</c:v>
                </c:pt>
                <c:pt idx="1">
                  <c:v>79</c:v>
                </c:pt>
                <c:pt idx="2">
                  <c:v>102</c:v>
                </c:pt>
              </c:numCache>
            </c:numRef>
          </c:yVal>
          <c:smooth val="0"/>
        </c:ser>
        <c:ser>
          <c:idx val="5"/>
          <c:order val="5"/>
          <c:tx>
            <c:strRef>
              <c:f>'NS01999 only'!$G$1</c:f>
              <c:strCache>
                <c:ptCount val="1"/>
                <c:pt idx="0">
                  <c:v>Lower limit</c:v>
                </c:pt>
              </c:strCache>
            </c:strRef>
          </c:tx>
          <c:xVal>
            <c:numRef>
              <c:f>'NS01999 only'!$A$2:$A$4</c:f>
              <c:numCache>
                <c:formatCode>General</c:formatCode>
                <c:ptCount val="3"/>
                <c:pt idx="0">
                  <c:v>15</c:v>
                </c:pt>
                <c:pt idx="1">
                  <c:v>60</c:v>
                </c:pt>
                <c:pt idx="2">
                  <c:v>180</c:v>
                </c:pt>
              </c:numCache>
            </c:numRef>
          </c:xVal>
          <c:yVal>
            <c:numRef>
              <c:f>'NS01999 only'!$G$2:$G$4</c:f>
              <c:numCache>
                <c:formatCode>General</c:formatCode>
                <c:ptCount val="3"/>
                <c:pt idx="0">
                  <c:v>35</c:v>
                </c:pt>
                <c:pt idx="1">
                  <c:v>45</c:v>
                </c:pt>
                <c:pt idx="2">
                  <c:v>70</c:v>
                </c:pt>
              </c:numCache>
            </c:numRef>
          </c:yVal>
          <c:smooth val="0"/>
        </c:ser>
        <c:ser>
          <c:idx val="6"/>
          <c:order val="6"/>
          <c:tx>
            <c:strRef>
              <c:f>'NS01999 only'!$H$1</c:f>
              <c:strCache>
                <c:ptCount val="1"/>
                <c:pt idx="0">
                  <c:v>Upper limit</c:v>
                </c:pt>
              </c:strCache>
            </c:strRef>
          </c:tx>
          <c:spPr>
            <a:ln>
              <a:prstDash val="dash"/>
            </a:ln>
          </c:spPr>
          <c:marker>
            <c:spPr>
              <a:ln>
                <a:prstDash val="dash"/>
              </a:ln>
            </c:spPr>
          </c:marker>
          <c:xVal>
            <c:numRef>
              <c:f>'NS01999 only'!$A$2:$A$4</c:f>
              <c:numCache>
                <c:formatCode>General</c:formatCode>
                <c:ptCount val="3"/>
                <c:pt idx="0">
                  <c:v>15</c:v>
                </c:pt>
                <c:pt idx="1">
                  <c:v>60</c:v>
                </c:pt>
                <c:pt idx="2">
                  <c:v>180</c:v>
                </c:pt>
              </c:numCache>
            </c:numRef>
          </c:xVal>
          <c:yVal>
            <c:numRef>
              <c:f>'NS01999 only'!$H$2:$H$4</c:f>
              <c:numCache>
                <c:formatCode>General</c:formatCode>
                <c:ptCount val="3"/>
                <c:pt idx="0">
                  <c:v>65</c:v>
                </c:pt>
                <c:pt idx="1">
                  <c:v>80</c:v>
                </c:pt>
                <c:pt idx="2">
                  <c:v>100</c:v>
                </c:pt>
              </c:numCache>
            </c:numRef>
          </c:yVal>
          <c:smooth val="0"/>
        </c:ser>
        <c:dLbls>
          <c:showLegendKey val="0"/>
          <c:showVal val="0"/>
          <c:showCatName val="0"/>
          <c:showSerName val="0"/>
          <c:showPercent val="0"/>
          <c:showBubbleSize val="0"/>
        </c:dLbls>
        <c:axId val="101053568"/>
        <c:axId val="101055872"/>
      </c:scatterChart>
      <c:valAx>
        <c:axId val="101053568"/>
        <c:scaling>
          <c:orientation val="minMax"/>
          <c:max val="185"/>
          <c:min val="0"/>
        </c:scaling>
        <c:delete val="0"/>
        <c:axPos val="b"/>
        <c:title>
          <c:tx>
            <c:rich>
              <a:bodyPr/>
              <a:lstStyle/>
              <a:p>
                <a:pPr>
                  <a:defRPr/>
                </a:pPr>
                <a:r>
                  <a:rPr lang="en-GB"/>
                  <a:t>Rolling time (min)</a:t>
                </a:r>
              </a:p>
            </c:rich>
          </c:tx>
          <c:layout/>
          <c:overlay val="0"/>
        </c:title>
        <c:numFmt formatCode="General" sourceLinked="1"/>
        <c:majorTickMark val="out"/>
        <c:minorTickMark val="none"/>
        <c:tickLblPos val="nextTo"/>
        <c:crossAx val="101055872"/>
        <c:crosses val="autoZero"/>
        <c:crossBetween val="midCat"/>
        <c:majorUnit val="30"/>
      </c:valAx>
      <c:valAx>
        <c:axId val="101055872"/>
        <c:scaling>
          <c:orientation val="minMax"/>
          <c:max val="105"/>
          <c:min val="30"/>
        </c:scaling>
        <c:delete val="0"/>
        <c:axPos val="l"/>
        <c:title>
          <c:tx>
            <c:rich>
              <a:bodyPr rot="-5400000" vert="horz"/>
              <a:lstStyle/>
              <a:p>
                <a:pPr>
                  <a:defRPr/>
                </a:pPr>
                <a:r>
                  <a:rPr lang="en-GB"/>
                  <a:t>Proportion of AI extracted (%)</a:t>
                </a:r>
              </a:p>
            </c:rich>
          </c:tx>
          <c:layout/>
          <c:overlay val="0"/>
        </c:title>
        <c:numFmt formatCode="General" sourceLinked="1"/>
        <c:majorTickMark val="out"/>
        <c:minorTickMark val="none"/>
        <c:tickLblPos val="nextTo"/>
        <c:crossAx val="101053568"/>
        <c:crosses val="autoZero"/>
        <c:crossBetween val="midCat"/>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SGALetterhead.dot</Template>
  <TotalTime>25</TotalTime>
  <Pages>2</Pages>
  <Words>453</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Syngenta</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ZODIAC Client</dc:creator>
  <cp:keywords>SGA-AutoCreated</cp:keywords>
  <cp:lastModifiedBy>Syngenta</cp:lastModifiedBy>
  <cp:revision>5</cp:revision>
  <cp:lastPrinted>2014-05-15T15:03:00Z</cp:lastPrinted>
  <dcterms:created xsi:type="dcterms:W3CDTF">2014-05-15T15:15:00Z</dcterms:created>
  <dcterms:modified xsi:type="dcterms:W3CDTF">2014-05-16T07:34:00Z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1.0004</vt:lpwstr>
  </property>
  <property fmtid="{D5CDD505-2E9C-101B-9397-08002B2CF9AE}" pid="3" name="_NewReviewCycle">
    <vt:lpwstr/>
  </property>
</Properties>
</file>